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cs="仿宋_GB2312"/>
          <w:color w:val="000000"/>
          <w:kern w:val="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>附件1：</w:t>
      </w:r>
    </w:p>
    <w:p>
      <w:pPr>
        <w:widowControl/>
        <w:jc w:val="center"/>
        <w:rPr>
          <w:rFonts w:hint="eastAsia" w:ascii="仿宋_GB2312" w:cs="仿宋_GB2312"/>
          <w:b/>
          <w:color w:val="000000"/>
          <w:kern w:val="0"/>
          <w:sz w:val="36"/>
          <w:szCs w:val="32"/>
        </w:rPr>
      </w:pPr>
      <w:r>
        <w:rPr>
          <w:rFonts w:hint="eastAsia" w:ascii="仿宋_GB2312" w:cs="仿宋_GB2312"/>
          <w:b/>
          <w:color w:val="000000"/>
          <w:kern w:val="0"/>
          <w:sz w:val="36"/>
          <w:szCs w:val="32"/>
        </w:rPr>
        <w:t>新生学籍电子注册信息核查流程</w:t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 xml:space="preserve">    查询网站为教育部指定学籍学历查询唯一网站：中国高等教育学生信息网（学信网），网址：</w:t>
      </w:r>
      <w:r>
        <w:rPr>
          <w:rFonts w:hint="eastAsia" w:ascii="仿宋_GB2312" w:hAnsi="宋体" w:cs="仿宋_GB2312"/>
          <w:color w:val="000000"/>
          <w:szCs w:val="32"/>
        </w:rPr>
        <w:fldChar w:fldCharType="begin"/>
      </w:r>
      <w:r>
        <w:rPr>
          <w:rFonts w:hint="eastAsia" w:ascii="仿宋_GB2312" w:hAnsi="宋体" w:cs="仿宋_GB2312"/>
          <w:color w:val="000000"/>
          <w:szCs w:val="32"/>
        </w:rPr>
        <w:instrText xml:space="preserve"> HYPERLINK "http://www.chsi.com.cn/" </w:instrText>
      </w:r>
      <w:r>
        <w:rPr>
          <w:rFonts w:hint="eastAsia" w:ascii="仿宋_GB2312" w:hAnsi="宋体" w:cs="仿宋_GB2312"/>
          <w:color w:val="000000"/>
          <w:szCs w:val="32"/>
        </w:rPr>
        <w:fldChar w:fldCharType="separate"/>
      </w:r>
      <w:r>
        <w:rPr>
          <w:rFonts w:hint="eastAsia" w:ascii="仿宋_GB2312" w:hAnsi="宋体" w:cs="仿宋_GB2312"/>
          <w:color w:val="000000"/>
          <w:szCs w:val="32"/>
        </w:rPr>
        <w:t>http://www.chsi.com.cn/</w:t>
      </w:r>
      <w:r>
        <w:rPr>
          <w:rFonts w:hint="eastAsia" w:ascii="仿宋_GB2312" w:hAnsi="宋体" w:cs="仿宋_GB2312"/>
          <w:color w:val="000000"/>
          <w:szCs w:val="32"/>
        </w:rPr>
        <w:fldChar w:fldCharType="end"/>
      </w:r>
      <w:r>
        <w:rPr>
          <w:rFonts w:hint="eastAsia" w:ascii="仿宋_GB2312" w:hAnsi="宋体" w:cs="仿宋_GB2312"/>
          <w:color w:val="000000"/>
          <w:szCs w:val="32"/>
        </w:rPr>
        <w:t>。查询流程如下：</w:t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bookmarkStart w:id="0" w:name="_GoBack"/>
      <w:r>
        <w:rPr>
          <w:rFonts w:hint="eastAsia" w:ascii="仿宋_GB2312" w:hAnsi="宋体" w:cs="仿宋_GB2312"/>
          <w:color w:val="0000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342265</wp:posOffset>
            </wp:positionV>
            <wp:extent cx="5614035" cy="3242310"/>
            <wp:effectExtent l="0" t="0" r="5715" b="152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24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宋体" w:cs="仿宋_GB2312"/>
          <w:color w:val="000000"/>
          <w:szCs w:val="32"/>
        </w:rPr>
        <w:t xml:space="preserve">    第一步：登陆学信网，点击左侧“新生学籍”。</w:t>
      </w: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ind w:firstLine="632" w:firstLineChars="200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 xml:space="preserve">    第二步：学信网实名注册（已注册学信网用户名的可直接登陆）。注册时务必准确填写本人的真实姓名、证件类型、证件号码、手机号等。</w:t>
      </w:r>
      <w:r>
        <w:rPr>
          <w:rFonts w:hint="eastAsia" w:ascii="仿宋_GB2312" w:hAnsi="宋体" w:cs="仿宋_GB2312"/>
          <w:b/>
          <w:bCs/>
          <w:color w:val="000000"/>
          <w:szCs w:val="32"/>
        </w:rPr>
        <w:t>务必牢记注册信息。</w:t>
      </w:r>
    </w:p>
    <w:p>
      <w:pPr>
        <w:widowControl/>
        <w:tabs>
          <w:tab w:val="left" w:pos="640"/>
        </w:tabs>
        <w:jc w:val="center"/>
        <w:rPr>
          <w:rFonts w:hint="eastAsia" w:ascii="仿宋_GB2312" w:cs="仿宋_GB2312"/>
          <w:color w:val="000000"/>
          <w:kern w:val="0"/>
          <w:szCs w:val="32"/>
        </w:rPr>
      </w:pPr>
    </w:p>
    <w:p>
      <w:pPr>
        <w:widowControl/>
        <w:tabs>
          <w:tab w:val="left" w:pos="640"/>
        </w:tabs>
        <w:jc w:val="center"/>
        <w:rPr>
          <w:rFonts w:hint="eastAsia" w:ascii="仿宋_GB2312" w:cs="仿宋_GB2312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kern w:val="0"/>
          <w:szCs w:val="32"/>
        </w:rPr>
        <w:drawing>
          <wp:inline distT="0" distB="0" distL="114300" distR="114300">
            <wp:extent cx="5619750" cy="2819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 xml:space="preserve">    注意：身份证号码重复。如果您使用的身份证号码已被注册使用，请首先确认是否曾经注册过学信网账号，若已注册过，请通过“找回用户名、找回密码”功能找回原有账号。若尚未注册过账号的，请参考学信网身份证号码重复的解决办法来完成注册。</w:t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 xml:space="preserve">    第三步：重新登陆。</w:t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 xml:space="preserve">    第四步：点击“学籍信息”，认真核对学信网上显示的本人各项学籍信息。</w:t>
      </w:r>
    </w:p>
    <w:p>
      <w:pPr>
        <w:spacing w:line="600" w:lineRule="atLeast"/>
        <w:ind w:firstLine="40"/>
        <w:rPr>
          <w:color w:val="000000"/>
          <w:shd w:val="clear" w:color="auto" w:fill="FFFFFF"/>
        </w:rPr>
      </w:pPr>
      <w:r>
        <w:rPr>
          <w:rFonts w:hint="eastAsia" w:ascii="仿宋_GB2312" w:cs="仿宋_GB2312"/>
          <w:color w:val="000000"/>
          <w:kern w:val="0"/>
          <w:szCs w:val="32"/>
        </w:rPr>
        <w:drawing>
          <wp:inline distT="0" distB="0" distL="114300" distR="114300">
            <wp:extent cx="5610225" cy="2514600"/>
            <wp:effectExtent l="0" t="0" r="9525" b="0"/>
            <wp:docPr id="1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 xml:space="preserve">    若信息无误，不做任何操作，直接退出登陆即完成核对工作。</w:t>
      </w:r>
    </w:p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  <w:sectPr>
          <w:pgSz w:w="11907" w:h="16840"/>
          <w:pgMar w:top="2098" w:right="1474" w:bottom="1985" w:left="1588" w:header="851" w:footer="992" w:gutter="0"/>
          <w:cols w:space="425" w:num="1"/>
          <w:docGrid w:type="linesAndChars" w:linePitch="579" w:charSpace="-842"/>
        </w:sectPr>
      </w:pPr>
      <w:r>
        <w:rPr>
          <w:rFonts w:hint="eastAsia" w:ascii="仿宋_GB2312" w:hAnsi="宋体" w:cs="仿宋_GB2312"/>
          <w:color w:val="000000"/>
          <w:szCs w:val="32"/>
        </w:rPr>
        <w:t xml:space="preserve">    若信息有误，及时向研究生院反映并提供符合规定的申请及证明材料。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2B98"/>
    <w:rsid w:val="468D2B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2016-10-10T01:13:00Z</dcterms:created>
  <dc:creator>Administrator</dc:creator>
  <cp:lastModifiedBy>Administrator</cp:lastModifiedBy>
  <dcterms:modified xsi:type="dcterms:W3CDTF">2016-10-10T01:13:54Z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